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/>
        <w:keepLines/>
        <w:widowControl w:val="0"/>
        <w:shd w:val="clear" w:color="auto" w:fill="auto"/>
        <w:bidi w:val="0"/>
        <w:spacing w:before="0" w:after="320" w:line="240" w:lineRule="auto"/>
        <w:ind w:right="0"/>
        <w:jc w:val="center"/>
        <w:rPr>
          <w:rFonts w:hint="eastAsia" w:ascii="宋体" w:hAnsi="宋体" w:eastAsia="宋体" w:cs="宋体"/>
        </w:rPr>
      </w:pPr>
      <w:bookmarkStart w:id="0" w:name="bookmark82"/>
      <w:bookmarkStart w:id="1" w:name="bookmark80"/>
      <w:bookmarkStart w:id="2" w:name="bookmark81"/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-173990</wp:posOffset>
                </wp:positionV>
                <wp:extent cx="952500" cy="333375"/>
                <wp:effectExtent l="4445" t="4445" r="14605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38810" y="741045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5pt;margin-top:-13.7pt;height:26.25pt;width:75pt;z-index:251658240;mso-width-relative:page;mso-height-relative:page;" fillcolor="#FFFFFF [3212]" filled="t" stroked="t" coordsize="21600,21600" o:gfxdata="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hF6PNdYAAAAJAQAADwAAAAAAAAABACAAAAAiAAAAZHJz&#10;L2Rvd25yZXYueG1sUEsBAhQAFAAAAAgAh07iQLOgQLQ/AgAAcwQAAA4AAAAAAAAAAQAgAAAAJQEA&#10;AGRycy9lMm9Eb2MueG1sUEsFBgAAAAAGAAYAWQEAANY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电动汽车示范充电站评价表</w:t>
      </w:r>
      <w:bookmarkEnd w:id="0"/>
      <w:bookmarkEnd w:id="1"/>
      <w:bookmarkEnd w:id="2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10"/>
        <w:gridCol w:w="6490"/>
        <w:gridCol w:w="1277"/>
        <w:gridCol w:w="12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4" w:lineRule="exact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评价项目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评价要求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标准分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14" w:lineRule="exact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lang w:eastAsia="zh-CN"/>
              </w:rPr>
              <w:t>现场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考核</w:t>
            </w: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lang w:eastAsia="zh-CN"/>
              </w:rPr>
              <w:t>评分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6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35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基本条件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（必选项）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充电设备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816"/>
              </w:tabs>
              <w:bidi w:val="0"/>
              <w:spacing w:before="0" w:after="0" w:line="514" w:lineRule="exact"/>
              <w:ind w:left="0" w:right="0" w:firstLine="6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所釆用设备应在充电设施产品的安全性、一 致性和技术要求等方面执行不低于国家或行业标准，并予以实施；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908"/>
              </w:tabs>
              <w:bidi w:val="0"/>
              <w:spacing w:before="0" w:after="0" w:line="514" w:lineRule="exact"/>
              <w:ind w:left="0" w:right="0" w:firstLine="6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充电设备应符合相关国家标准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14" w:lineRule="exact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（NB/T33001-2010. NB/T33002-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2010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14" w:lineRule="exact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 xml:space="preserve">NB/T33008. 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1/2-2013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 xml:space="preserve">GB/T18487. 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1-2015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14" w:lineRule="exact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 xml:space="preserve">GB/T20234. 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1/2/3-2015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 xml:space="preserve">GB/T27930-2015 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等）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15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充电站建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75" w:lineRule="exact"/>
              <w:ind w:left="0" w:right="0" w:firstLine="6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充电设施及其设计、建设、使用符合国家和行业标准和管理要求。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889"/>
              </w:tabs>
              <w:bidi w:val="0"/>
              <w:spacing w:before="0" w:after="0" w:line="485" w:lineRule="exact"/>
              <w:ind w:left="0" w:right="0" w:firstLine="6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企业建设管理制度齐全；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908"/>
              </w:tabs>
              <w:bidi w:val="0"/>
              <w:spacing w:before="0" w:after="0" w:line="485" w:lineRule="exact"/>
              <w:ind w:left="0" w:right="0" w:firstLine="6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建设标准符合国家及行业要求；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816"/>
              </w:tabs>
              <w:bidi w:val="0"/>
              <w:spacing w:before="0" w:after="0" w:line="485" w:lineRule="exact"/>
              <w:ind w:left="0" w:right="0" w:firstLine="6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安装施工单位具有资质，充电设备建设施工 单位需具有机电设备安装三级以上资质；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913"/>
              </w:tabs>
              <w:bidi w:val="0"/>
              <w:spacing w:before="0" w:after="0" w:line="485" w:lineRule="exact"/>
              <w:ind w:left="0" w:right="0" w:firstLine="6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进场施工有培训；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903"/>
              </w:tabs>
              <w:bidi w:val="0"/>
              <w:spacing w:before="0" w:after="0" w:line="485" w:lineRule="exact"/>
              <w:ind w:left="0" w:right="0" w:firstLine="6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新增规划用地符合建设报建流程；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908"/>
              </w:tabs>
              <w:bidi w:val="0"/>
              <w:spacing w:before="0" w:after="0" w:line="485" w:lineRule="exact"/>
              <w:ind w:left="0" w:right="0" w:firstLine="6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竣工验收交付使用。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15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计量计费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06" w:lineRule="exact"/>
              <w:ind w:left="0" w:right="0" w:firstLine="6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严格执行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《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 xml:space="preserve">GB/T 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29318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电动汽车非车载充电机 电能计量》和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《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 xml:space="preserve">GB/T 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28569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电动汽车交流充电桩电 能计量》等国家有关规定和标准。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安全保障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1461"/>
              </w:tabs>
              <w:bidi w:val="0"/>
              <w:spacing w:before="0" w:after="0" w:line="506" w:lineRule="exact"/>
              <w:ind w:left="0" w:right="0" w:firstLine="760"/>
              <w:jc w:val="left"/>
              <w:rPr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>（一）设备安全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09" w:lineRule="exact"/>
              <w:ind w:left="0" w:right="0" w:firstLine="6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供电回路方案设计、元器件耐压选择、设备安装电气要求、现场施工、消防及防雷等能确保充电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10"/>
        <w:gridCol w:w="6490"/>
        <w:gridCol w:w="1277"/>
        <w:gridCol w:w="12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06" w:lineRule="exact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设备使用安全。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802"/>
              </w:tabs>
              <w:bidi w:val="0"/>
              <w:spacing w:before="0" w:after="0" w:line="506" w:lineRule="exact"/>
              <w:ind w:left="0" w:right="0" w:firstLine="6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充电设备及变配电设计符合相关标准（包括 防雷、消防、配电、接地等）；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816"/>
              </w:tabs>
              <w:bidi w:val="0"/>
              <w:spacing w:before="0" w:after="0" w:line="506" w:lineRule="exact"/>
              <w:ind w:left="0" w:right="0" w:firstLine="6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充电设施布置及高压供电设计有相关电气安全防护措施，符合国标及行业标准技术规范，确保人身操作安全；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821"/>
              </w:tabs>
              <w:bidi w:val="0"/>
              <w:spacing w:before="0" w:after="0" w:line="506" w:lineRule="exact"/>
              <w:ind w:left="0" w:right="0" w:firstLine="6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充电设备及配电设备、供电线缆具有涉水、 雨漏、防火、防雷等安全设计合规；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802"/>
              </w:tabs>
              <w:bidi w:val="0"/>
              <w:spacing w:before="0" w:after="0" w:line="506" w:lineRule="exact"/>
              <w:ind w:left="0" w:right="0" w:firstLine="6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充电设施具备基本防盗、防开门高压触碰、 防带电操作锁止或安全提示标识等措施；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932"/>
              </w:tabs>
              <w:bidi w:val="0"/>
              <w:spacing w:before="0" w:after="0" w:line="506" w:lineRule="exact"/>
              <w:ind w:left="0" w:right="0" w:firstLine="6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电气设备竣工安全检查合格报告。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1461"/>
              </w:tabs>
              <w:bidi w:val="0"/>
              <w:spacing w:before="0" w:after="0" w:line="506" w:lineRule="exact"/>
              <w:ind w:left="0" w:right="0" w:firstLine="760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>（二）充电安全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06" w:lineRule="exact"/>
              <w:ind w:left="0" w:right="0" w:firstLine="6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具有充电安全保护能力，包括：实时监测充电过程极值超限告警和自动切断保护功能；具有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BMS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失效异常状况判别，防过充保护控制功能；具有电池性能预警及系统联动保护功能等。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811"/>
              </w:tabs>
              <w:bidi w:val="0"/>
              <w:spacing w:before="0" w:after="0" w:line="509" w:lineRule="exact"/>
              <w:ind w:left="0" w:right="0" w:firstLine="6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充电运营商应具有充电监控管理平台，实时监测充电过程中的异常状态，极值告警及保护，充电安全保护功能符合相关技术要求；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826"/>
              </w:tabs>
              <w:bidi w:val="0"/>
              <w:spacing w:before="0" w:after="0" w:line="509" w:lineRule="exact"/>
              <w:ind w:left="0" w:right="0" w:firstLine="6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具有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BMS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失效异常状况判别，具有防过充保护数据监测和控制功能；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821"/>
              </w:tabs>
              <w:bidi w:val="0"/>
              <w:spacing w:before="0" w:after="0" w:line="514" w:lineRule="exact"/>
              <w:ind w:left="0" w:right="0" w:firstLine="6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具有防止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BMS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实效的冗余监测保护；充电设备能根据监测到的异常数据，发出报警信息；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918"/>
              </w:tabs>
              <w:bidi w:val="0"/>
              <w:spacing w:before="0" w:after="0" w:line="514" w:lineRule="exact"/>
              <w:ind w:left="0" w:right="0" w:firstLine="6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具有电池性能劣化预警及联动保护功能；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903"/>
              </w:tabs>
              <w:bidi w:val="0"/>
              <w:spacing w:before="0" w:after="0" w:line="514" w:lineRule="exact"/>
              <w:ind w:left="0" w:right="0" w:firstLine="6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充电安全的运行管理有效。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1461"/>
              </w:tabs>
              <w:bidi w:val="0"/>
              <w:spacing w:before="0" w:after="0" w:line="514" w:lineRule="exact"/>
              <w:ind w:left="0" w:right="0" w:firstLine="760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>（三）信息安全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14" w:lineRule="exact"/>
              <w:ind w:left="0" w:right="0" w:firstLine="6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建立信息安全管理制度，运营平台应符合相关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  <w:bookmarkStart w:id="3" w:name="_GoBack"/>
      <w:bookmarkEnd w:id="3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10"/>
        <w:gridCol w:w="6490"/>
        <w:gridCol w:w="1277"/>
        <w:gridCol w:w="12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04" w:lineRule="exact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国家信息安全标准，充电设备安全防侵入防攻击防篡改措施具有实施方案和计划。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811"/>
              </w:tabs>
              <w:bidi w:val="0"/>
              <w:spacing w:before="0" w:after="0" w:line="504" w:lineRule="exact"/>
              <w:ind w:left="0" w:right="0" w:firstLine="6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运营平台安全设计参照信息安全管理和技术 等级三级保护要求（《信息安全技术信息系统安全 等级保护基本要求》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GB/T 22239-2008）；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830"/>
              </w:tabs>
              <w:bidi w:val="0"/>
              <w:spacing w:before="0" w:after="0" w:line="504" w:lineRule="exact"/>
              <w:ind w:left="0" w:right="0" w:firstLine="6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需有数据信息安全保障方案，确保平台数据 换、存储及运行操作过程中防止信息泄漏，以及数据备份及恢复；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903"/>
              </w:tabs>
              <w:bidi w:val="0"/>
              <w:spacing w:before="0" w:after="0" w:line="504" w:lineRule="exact"/>
              <w:ind w:left="0" w:right="0" w:firstLine="6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平台网络安全具备防攻击相应能力；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821"/>
              </w:tabs>
              <w:bidi w:val="0"/>
              <w:spacing w:before="0" w:after="0" w:line="504" w:lineRule="exact"/>
              <w:ind w:left="0" w:right="0" w:firstLine="6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支付系统具备相应支付安全方案及保护措施；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821"/>
              </w:tabs>
              <w:bidi w:val="0"/>
              <w:spacing w:before="0" w:after="0" w:line="504" w:lineRule="exact"/>
              <w:ind w:left="0" w:right="0" w:firstLine="6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充电设备具备与平台配合的防攻击安全保护措施，如数据信道的业务功能防篡改认证、鉴权、及充电控制信息数据加密等安全保护措施；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913"/>
              </w:tabs>
              <w:bidi w:val="0"/>
              <w:spacing w:before="0" w:after="0" w:line="504" w:lineRule="exact"/>
              <w:ind w:left="0" w:right="0" w:firstLine="6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车桩充电信息安全保障措施。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3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35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参考条件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（加分项）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充电站运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维管理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4" w:lineRule="exact"/>
              <w:ind w:left="0" w:right="0" w:firstLine="6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充电站建有完善的运营管理体系。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889"/>
              </w:tabs>
              <w:bidi w:val="0"/>
              <w:spacing w:before="0" w:after="0" w:line="494" w:lineRule="exact"/>
              <w:ind w:left="0" w:right="0" w:firstLine="6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企业内部应建立完善的运营管理体系；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908"/>
              </w:tabs>
              <w:bidi w:val="0"/>
              <w:spacing w:before="0" w:after="0" w:line="494" w:lineRule="exact"/>
              <w:ind w:left="0" w:right="0" w:firstLine="6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企业应取得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IS09001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质量管理体系认证；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802"/>
              </w:tabs>
              <w:bidi w:val="0"/>
              <w:spacing w:before="0" w:after="0" w:line="494" w:lineRule="exact"/>
              <w:ind w:left="0" w:right="0" w:firstLine="6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企业通过相关环境管理体系及职业健康安全 管理体系认证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 xml:space="preserve">（IS014001； 0HSAS18001 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等）。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40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分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1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0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设施完好 率/开通率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0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/利用率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811"/>
              </w:tabs>
              <w:bidi w:val="0"/>
              <w:spacing w:before="0" w:after="0" w:line="514" w:lineRule="exact"/>
              <w:ind w:left="0" w:right="0" w:firstLine="6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充电设施完好率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100%；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故障实施可快速响应维修；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908"/>
              </w:tabs>
              <w:bidi w:val="0"/>
              <w:spacing w:before="0" w:after="0" w:line="514" w:lineRule="exact"/>
              <w:ind w:left="0" w:right="0" w:firstLine="62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充电设施开通率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100%；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903"/>
              </w:tabs>
              <w:bidi w:val="0"/>
              <w:spacing w:before="0" w:after="0" w:line="514" w:lineRule="exact"/>
              <w:ind w:left="0" w:right="0" w:firstLine="6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利用率高。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充电费用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充电电费符合国家政策标准要求；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10"/>
        <w:gridCol w:w="6490"/>
        <w:gridCol w:w="1277"/>
        <w:gridCol w:w="12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908"/>
              </w:tabs>
              <w:bidi w:val="0"/>
              <w:spacing w:before="0" w:after="180" w:line="240" w:lineRule="auto"/>
              <w:ind w:left="0" w:right="0" w:firstLine="6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服务费符合地方政策要求；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903"/>
              </w:tabs>
              <w:bidi w:val="0"/>
              <w:spacing w:before="0" w:after="0" w:line="240" w:lineRule="auto"/>
              <w:ind w:left="0" w:right="0" w:firstLine="6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停车费优惠。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第三方认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816"/>
              </w:tabs>
              <w:bidi w:val="0"/>
              <w:spacing w:before="0" w:after="0" w:line="518" w:lineRule="exact"/>
              <w:ind w:left="0" w:right="0" w:firstLine="6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充电设施整机产品通过第三方检测，并获得相关标识（检测、认证）评定；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850"/>
              </w:tabs>
              <w:bidi w:val="0"/>
              <w:spacing w:before="0" w:after="0" w:line="514" w:lineRule="exact"/>
              <w:ind w:left="0" w:right="0" w:firstLine="6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电设施产品关键部件，如充电接口、机械开关设备、电缆、配电箱、电能表等应通过第三方检 测；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811"/>
              </w:tabs>
              <w:bidi w:val="0"/>
              <w:spacing w:before="0" w:after="0" w:line="509" w:lineRule="exact"/>
              <w:ind w:left="0" w:right="0" w:firstLine="6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入网充电设备协议一致性及安全功能通过第三方检测。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专用充电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车位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具备专用充电车位，无燃油车占位。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专人值守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安排专人提供现场充电服务工作。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预约服务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23" w:lineRule="exact"/>
              <w:ind w:left="0" w:right="0" w:firstLine="6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通过运营商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APP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软件可进行充电预约，保障用户的充电体验。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引导标识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9" w:lineRule="exact"/>
              <w:ind w:left="0" w:right="0" w:firstLine="6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在充电站外、停车场内设置显著引导标识（或运营商导航软件提供详细地点描述）。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操作使用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说明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85" w:lineRule="exact"/>
              <w:ind w:left="0" w:right="0" w:firstLine="6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在设备显著位置张贴设备操作使用说明（或在充电卡、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APP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等提供操作使用说明）。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客服维修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响应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14" w:lineRule="exact"/>
              <w:ind w:left="0" w:right="0" w:firstLine="6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建立快速、便捷的客服维修响应机制，如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7X24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小时电话等，建立用户满意度评价体系。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配套设施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04" w:lineRule="exact"/>
              <w:ind w:left="0" w:right="0" w:firstLine="6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充电站周边配有厕所、购物、餐饮、休闲等配套设施，或向充电用户提供指引服务。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便捷支付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826"/>
              </w:tabs>
              <w:bidi w:val="0"/>
              <w:spacing w:before="0" w:after="0" w:line="514" w:lineRule="exact"/>
              <w:ind w:left="0" w:right="0" w:firstLine="6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具备刷卡支付、账号密码支付、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APP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支付、微 信、支付宝等三方支付中一项或多项支付方式；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922"/>
              </w:tabs>
              <w:bidi w:val="0"/>
              <w:spacing w:before="0" w:after="0" w:line="514" w:lineRule="exact"/>
              <w:ind w:left="0" w:right="0" w:firstLine="6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能够为充电用户及时提供账单查询等服务。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信息管理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平台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85" w:lineRule="exact"/>
              <w:ind w:left="0" w:right="0" w:firstLine="6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充电站接入国家、地方电动汽车充电信息服务管理平台。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10"/>
        <w:gridCol w:w="6490"/>
        <w:gridCol w:w="1277"/>
        <w:gridCol w:w="12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保险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14" w:lineRule="exact"/>
              <w:ind w:left="0" w:right="0" w:firstLine="6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L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充电设施产品已购买产品责任险；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14" w:lineRule="exact"/>
              <w:ind w:left="0" w:right="0" w:firstLine="6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2.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能够为充电用户提供相关的安全充电使用保险服务。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人员培训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06" w:lineRule="exact"/>
              <w:ind w:left="0" w:right="0" w:firstLine="6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管理人员和作业人员接受专业技能培训，并获得电动汽车充电设施安装建设与运维管理的资格证 书。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4" w:lineRule="exact"/>
              <w:ind w:left="0" w:right="0" w:firstLine="6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符合相关政策和地方政府要求的其他未尽事宜。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</w:tbl>
    <w:p>
      <w:pPr>
        <w:widowControl w:val="0"/>
        <w:spacing w:after="6959" w:line="1" w:lineRule="exact"/>
      </w:pPr>
    </w:p>
    <w:p>
      <w:pPr>
        <w:widowControl w:val="0"/>
        <w:spacing w:line="1" w:lineRule="exact"/>
      </w:pPr>
    </w:p>
    <w:sectPr>
      <w:headerReference r:id="rId5" w:type="default"/>
      <w:footerReference r:id="rId6" w:type="default"/>
      <w:footnotePr>
        <w:numFmt w:val="decimal"/>
      </w:footnotePr>
      <w:type w:val="continuous"/>
      <w:pgSz w:w="11900" w:h="16840"/>
      <w:pgMar w:top="1441" w:right="881" w:bottom="1441" w:left="656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singleLevel"/>
    <w:tmpl w:val="9239341B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abstractNum w:abstractNumId="1">
    <w:nsid w:val="B5E306ED"/>
    <w:multiLevelType w:val="singleLevel"/>
    <w:tmpl w:val="B5E306ED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abstractNum w:abstractNumId="2">
    <w:nsid w:val="BF205925"/>
    <w:multiLevelType w:val="singleLevel"/>
    <w:tmpl w:val="BF205925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abstractNum w:abstractNumId="3">
    <w:nsid w:val="C8879AEF"/>
    <w:multiLevelType w:val="singleLevel"/>
    <w:tmpl w:val="C8879AEF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4">
    <w:nsid w:val="0248C179"/>
    <w:multiLevelType w:val="singleLevel"/>
    <w:tmpl w:val="0248C179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5">
    <w:nsid w:val="03D62ECE"/>
    <w:multiLevelType w:val="singleLevel"/>
    <w:tmpl w:val="03D62EC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6">
    <w:nsid w:val="25B654F3"/>
    <w:multiLevelType w:val="singleLevel"/>
    <w:tmpl w:val="25B654F3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abstractNum w:abstractNumId="7">
    <w:nsid w:val="2A8F537B"/>
    <w:multiLevelType w:val="singleLevel"/>
    <w:tmpl w:val="2A8F537B"/>
    <w:lvl w:ilvl="0" w:tentative="0">
      <w:start w:val="2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abstractNum w:abstractNumId="8">
    <w:nsid w:val="5A241D34"/>
    <w:multiLevelType w:val="singleLevel"/>
    <w:tmpl w:val="5A241D34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9">
    <w:nsid w:val="72183CF9"/>
    <w:multiLevelType w:val="singleLevel"/>
    <w:tmpl w:val="72183CF9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3C2C15C1"/>
    <w:rsid w:val="497842F9"/>
    <w:rsid w:val="4F8B383F"/>
    <w:rsid w:val="515C029D"/>
    <w:rsid w:val="53711B89"/>
    <w:rsid w:val="621E7525"/>
    <w:rsid w:val="65A64814"/>
    <w:rsid w:val="7CEB45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Heading #1|1_"/>
    <w:basedOn w:val="5"/>
    <w:link w:val="7"/>
    <w:qFormat/>
    <w:uiPriority w:val="0"/>
    <w:rPr>
      <w:rFonts w:ascii="宋体" w:hAnsi="宋体" w:eastAsia="宋体" w:cs="宋体"/>
      <w:color w:val="E40014"/>
      <w:sz w:val="80"/>
      <w:szCs w:val="80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qFormat/>
    <w:uiPriority w:val="0"/>
    <w:pPr>
      <w:widowControl w:val="0"/>
      <w:shd w:val="clear" w:color="auto" w:fill="auto"/>
      <w:spacing w:before="2580" w:after="600"/>
      <w:outlineLvl w:val="0"/>
    </w:pPr>
    <w:rPr>
      <w:rFonts w:ascii="宋体" w:hAnsi="宋体" w:eastAsia="宋体" w:cs="宋体"/>
      <w:color w:val="E40014"/>
      <w:sz w:val="80"/>
      <w:szCs w:val="80"/>
      <w:u w:val="none"/>
      <w:shd w:val="clear" w:color="auto" w:fill="auto"/>
      <w:lang w:val="zh-TW" w:eastAsia="zh-TW" w:bidi="zh-TW"/>
    </w:rPr>
  </w:style>
  <w:style w:type="character" w:customStyle="1" w:styleId="8">
    <w:name w:val="Body text|2_"/>
    <w:basedOn w:val="5"/>
    <w:link w:val="9"/>
    <w:qFormat/>
    <w:uiPriority w:val="0"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link w:val="8"/>
    <w:qFormat/>
    <w:uiPriority w:val="0"/>
    <w:pPr>
      <w:widowControl w:val="0"/>
      <w:shd w:val="clear" w:color="auto" w:fill="auto"/>
      <w:spacing w:after="720"/>
      <w:ind w:firstLine="360"/>
      <w:jc w:val="center"/>
    </w:pPr>
    <w:rPr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0">
    <w:name w:val="Heading #2|1_"/>
    <w:basedOn w:val="5"/>
    <w:link w:val="11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1">
    <w:name w:val="Heading #2|1"/>
    <w:basedOn w:val="1"/>
    <w:link w:val="10"/>
    <w:qFormat/>
    <w:uiPriority w:val="0"/>
    <w:pPr>
      <w:widowControl w:val="0"/>
      <w:shd w:val="clear" w:color="auto" w:fill="auto"/>
      <w:spacing w:after="460" w:line="480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2">
    <w:name w:val="Body text|1_"/>
    <w:basedOn w:val="5"/>
    <w:link w:val="13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Body text|1"/>
    <w:basedOn w:val="1"/>
    <w:link w:val="12"/>
    <w:qFormat/>
    <w:uiPriority w:val="0"/>
    <w:pPr>
      <w:widowControl w:val="0"/>
      <w:shd w:val="clear" w:color="auto" w:fill="auto"/>
      <w:spacing w:line="35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4">
    <w:name w:val="Table caption|1_"/>
    <w:basedOn w:val="5"/>
    <w:link w:val="15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5">
    <w:name w:val="Table caption|1"/>
    <w:basedOn w:val="1"/>
    <w:link w:val="14"/>
    <w:qFormat/>
    <w:uiPriority w:val="0"/>
    <w:pPr>
      <w:widowControl w:val="0"/>
      <w:shd w:val="clear" w:color="auto" w:fill="auto"/>
      <w:spacing w:line="295" w:lineRule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6">
    <w:name w:val="Other|1_"/>
    <w:basedOn w:val="5"/>
    <w:link w:val="17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7">
    <w:name w:val="Other|1"/>
    <w:basedOn w:val="1"/>
    <w:link w:val="16"/>
    <w:qFormat/>
    <w:uiPriority w:val="0"/>
    <w:pPr>
      <w:widowControl w:val="0"/>
      <w:shd w:val="clear" w:color="auto" w:fill="auto"/>
      <w:spacing w:line="35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8">
    <w:name w:val="Header or footer|2_"/>
    <w:basedOn w:val="5"/>
    <w:link w:val="19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9">
    <w:name w:val="Header or footer|2"/>
    <w:basedOn w:val="1"/>
    <w:link w:val="18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20">
    <w:name w:val="Heading #3|1_"/>
    <w:basedOn w:val="5"/>
    <w:link w:val="21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21">
    <w:name w:val="Heading #3|1"/>
    <w:basedOn w:val="1"/>
    <w:link w:val="20"/>
    <w:qFormat/>
    <w:uiPriority w:val="0"/>
    <w:pPr>
      <w:widowControl w:val="0"/>
      <w:shd w:val="clear" w:color="auto" w:fill="auto"/>
      <w:spacing w:after="520" w:line="442" w:lineRule="exact"/>
      <w:jc w:val="center"/>
      <w:outlineLvl w:val="2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22">
    <w:name w:val="Body text|3_"/>
    <w:basedOn w:val="5"/>
    <w:link w:val="23"/>
    <w:qFormat/>
    <w:uiPriority w:val="0"/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23">
    <w:name w:val="Body text|3"/>
    <w:basedOn w:val="1"/>
    <w:link w:val="22"/>
    <w:qFormat/>
    <w:uiPriority w:val="0"/>
    <w:pPr>
      <w:widowControl w:val="0"/>
      <w:shd w:val="clear" w:color="auto" w:fill="auto"/>
      <w:spacing w:line="240" w:lineRule="exact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24">
    <w:name w:val="Header or footer|1_"/>
    <w:basedOn w:val="5"/>
    <w:link w:val="25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5">
    <w:name w:val="Header or footer|1"/>
    <w:basedOn w:val="1"/>
    <w:link w:val="24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26">
    <w:name w:val="Body text|4_"/>
    <w:basedOn w:val="5"/>
    <w:link w:val="27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27">
    <w:name w:val="Body text|4"/>
    <w:basedOn w:val="1"/>
    <w:link w:val="26"/>
    <w:qFormat/>
    <w:uiPriority w:val="0"/>
    <w:pPr>
      <w:widowControl w:val="0"/>
      <w:shd w:val="clear" w:color="auto" w:fill="auto"/>
      <w:spacing w:after="820"/>
      <w:ind w:left="222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1060</TotalTime>
  <ScaleCrop>false</ScaleCrop>
  <LinksUpToDate>false</LinksUpToDate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2020-09-03T08:33:00Z</dcterms:created>
  <dc:creator>Lenovo</dc:creator>
  <cp:lastModifiedBy>WPS_1591150055</cp:lastModifiedBy>
  <cp:lastPrinted>2020-10-21T01:25:21Z</cp:lastPrinted>
  <dcterms:modified xsi:type="dcterms:W3CDTF">2020-10-22T02:16:36Z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