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/>
        <w:keepLines/>
        <w:widowControl w:val="0"/>
        <w:shd w:val="clear" w:color="auto" w:fill="auto"/>
        <w:bidi w:val="0"/>
        <w:spacing w:before="0" w:after="320" w:line="240" w:lineRule="auto"/>
        <w:ind w:right="0"/>
        <w:jc w:val="center"/>
        <w:rPr>
          <w:rFonts w:hint="eastAsia" w:ascii="宋体" w:hAnsi="宋体" w:eastAsia="宋体" w:cs="宋体"/>
        </w:rPr>
      </w:pPr>
      <w:bookmarkStart w:id="0" w:name="bookmark82"/>
      <w:bookmarkStart w:id="1" w:name="bookmark80"/>
      <w:bookmarkStart w:id="2" w:name="bookmark81"/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-173990</wp:posOffset>
                </wp:positionV>
                <wp:extent cx="952500" cy="333375"/>
                <wp:effectExtent l="4445" t="4445" r="14605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38810" y="741045"/>
                          <a:ext cx="95250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5pt;margin-top:-13.7pt;height:26.25pt;width:75pt;z-index:251658240;mso-width-relative:page;mso-height-relative:page;" fillcolor="#FFFFFF [3212]" filled="t" stroked="t" coordsize="21600,21600" o:gfxdata="UEsDBAoAAAAAAIdO4kAAAAAAAAAAAAAAAAAEAAAAZHJzL1BLAwQUAAAACACHTuJAhF6PNdYAAAAJ&#10;AQAADwAAAGRycy9kb3ducmV2LnhtbE2PzU6EQBCE7ya+w6RNvO0OoChBmj2YeDMmrL/HWaYXiEwP&#10;ywywvr3DSY/VVan+qtidTS9mGl1nGSHeRiCIa6s7bhDeXp82GQjnFWvVWyaEH3KwKy8vCpVru3BF&#10;8943IpSwyxVC6/2QS+nqloxyWzsQB+9oR6N8kGMj9aiWUG56mUTRnTSq4/ChVQM9tlR/7yeD8DJP&#10;9r35SOtP/loqlx1P1XN2Qry+iqMHEJ7O/i8MK35AhzIwHezE2oke4SYNUzzCJrm/BbEGsvVyQEjS&#10;GGRZyP8Lyl9QSwMEFAAAAAgAh07iQLOgQLQ/AgAAcwQAAA4AAABkcnMvZTJvRG9jLnhtbK1US44T&#10;MRDdI3EHy3vSnUwyn2g6o5BREFLEjDQg1o7bnbTkdhnbSXc4ANxgVmzYc645B89O5gcsECILp+xX&#10;eVX1qirnF12j2VY5X5MpeL+Xc6aMpLI2q4J/eD9/dcqZD8KUQpNRBd8pzy8mL1+ct3asBrQmXSrH&#10;QGL8uLUFX4dgx1nm5Vo1wvfIKgOwIteIgKtbZaUTLdgbnQ3y/DhryZXWkVTe4/VyD/JJ4q8qJcNV&#10;VXkVmC44cgvpdOlcxjObnIvxygm7ruUhDfEPWTSiNgj6QHUpgmAbV/9G1dTSkacq9CQ1GVVVLVWq&#10;AdX081+quVkLq1ItEMfbB5n8/6OV77bXjtUleseZEQ1adHf79e7bj7vvX1g/ytNaP4bXjYVf6F5T&#10;F10P7x6Psequck38Rj0M+PHR6Wkfau8KfjLs58PRXmbVBSYBn40GoxywBH6Ez0nCs0ca63x4o6hh&#10;0Si4QxeTuGK78AGh4XrvEqN60nU5r7VOF7dazrRjW4GOz9MnRsdPnrlpw9qY6ChPzM8w/zcUINQG&#10;vFGevQzRCt2yO2izpHIHyRztZ85bOa9RzkL4cC0chgwKYHHCFY5KE7Khg8XZmtznP71Hf/QeKGct&#10;hrbg/tNGOMWZfmswFWf94TBOeboMRycDXNxTZPkUMZtmRlAJnUd2yYz+Qd+blaPmI/ZrGqMCEkYi&#10;dsHDvTkL+1XCfko1nSYnzLUVYWFurIzUsSeGpptAVZ16F2Xaa3NQD5Od+nPYwrg6T+/J6/G/YvI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hF6PNdYAAAAJAQAADwAAAAAAAAABACAAAAAiAAAAZHJz&#10;L2Rvd25yZXYueG1sUEsBAhQAFAAAAAgAh07iQLOgQLQ/AgAAcwQAAA4AAAAAAAAAAQAgAAAAJQEA&#10;AGRycy9lMm9Eb2MueG1sUEsFBgAAAAAGAAYAWQEAANY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附件4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</w:rPr>
        <w:t>电动汽车示范充电站评价表</w:t>
      </w:r>
      <w:bookmarkEnd w:id="0"/>
      <w:bookmarkEnd w:id="1"/>
      <w:bookmarkEnd w:id="2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10"/>
        <w:gridCol w:w="6490"/>
        <w:gridCol w:w="1277"/>
        <w:gridCol w:w="128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94" w:lineRule="exact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评价项目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评价要求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标准分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14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lang w:eastAsia="zh-CN"/>
              </w:rPr>
              <w:t>现场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考核</w:t>
            </w: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lang w:eastAsia="zh-CN"/>
              </w:rPr>
              <w:t>评分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6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354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基本条件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（必选项）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充电设备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816"/>
              </w:tabs>
              <w:bidi w:val="0"/>
              <w:spacing w:before="0" w:after="0" w:line="514" w:lineRule="exact"/>
              <w:ind w:left="0" w:right="0" w:firstLine="6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所釆用设备应在充电设施产品的安全性、一 致性和技术要求等方面执行不低于国家或行业标准，并予以实施；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908"/>
              </w:tabs>
              <w:bidi w:val="0"/>
              <w:spacing w:before="0" w:after="0" w:line="514" w:lineRule="exact"/>
              <w:ind w:left="0" w:right="0" w:firstLine="6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充电设备应符合相关国家标准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14" w:lineRule="exact"/>
              <w:ind w:left="0" w:right="0" w:firstLine="24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（NB/T33001-2010. NB/T33002-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2010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14" w:lineRule="exact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 xml:space="preserve">NB/T33008. 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1/2-2013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 xml:space="preserve">GB/T18487. 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1-2015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14" w:lineRule="exact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 xml:space="preserve">GB/T20234. 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1/2/3-2015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 xml:space="preserve">GB/T27930-2015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等）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15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充电站建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75" w:lineRule="exact"/>
              <w:ind w:left="0" w:right="0" w:firstLine="62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充电设施及其设计、建设、使用符合国家和行业标准和管理要求。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889"/>
              </w:tabs>
              <w:bidi w:val="0"/>
              <w:spacing w:before="0" w:after="0" w:line="485" w:lineRule="exact"/>
              <w:ind w:left="0" w:right="0" w:firstLine="62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企业建设管理制度齐全；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908"/>
              </w:tabs>
              <w:bidi w:val="0"/>
              <w:spacing w:before="0" w:after="0" w:line="485" w:lineRule="exact"/>
              <w:ind w:left="0" w:right="0" w:firstLine="62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建设标准符合国家及行业要求；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816"/>
              </w:tabs>
              <w:bidi w:val="0"/>
              <w:spacing w:before="0" w:after="0" w:line="485" w:lineRule="exact"/>
              <w:ind w:left="0" w:right="0" w:firstLine="62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安装施工单位具有资质，充电设备建设施工 单位需具有机电设备安装三级以上资质；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913"/>
              </w:tabs>
              <w:bidi w:val="0"/>
              <w:spacing w:before="0" w:after="0" w:line="485" w:lineRule="exact"/>
              <w:ind w:left="0" w:right="0" w:firstLine="62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进场施工有培训；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903"/>
              </w:tabs>
              <w:bidi w:val="0"/>
              <w:spacing w:before="0" w:after="0" w:line="485" w:lineRule="exact"/>
              <w:ind w:left="0" w:right="0" w:firstLine="62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新增规划用地符合建设报建流程；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908"/>
              </w:tabs>
              <w:bidi w:val="0"/>
              <w:spacing w:before="0" w:after="0" w:line="485" w:lineRule="exact"/>
              <w:ind w:left="0" w:right="0" w:firstLine="62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竣工验收交付使用。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15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计量计费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06" w:lineRule="exact"/>
              <w:ind w:left="0" w:right="0" w:firstLine="62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严格执行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《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 xml:space="preserve">GB/T 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29318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电动汽车非车载充电机 电能计量》和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《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 xml:space="preserve">GB/T 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28569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电动汽车交流充电桩电 能计量》等国家有关规定和标准。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安全保障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1461"/>
              </w:tabs>
              <w:bidi w:val="0"/>
              <w:spacing w:before="0" w:after="0" w:line="506" w:lineRule="exact"/>
              <w:ind w:left="0" w:right="0" w:firstLine="760"/>
              <w:jc w:val="left"/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（一）设备安全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09" w:lineRule="exact"/>
              <w:ind w:left="0" w:right="0" w:firstLine="6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供电回路方案设计、元器件耐压选择、设备安装电气要求、现场施工、消防及防雷等能确保充电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10"/>
        <w:gridCol w:w="6490"/>
        <w:gridCol w:w="1277"/>
        <w:gridCol w:w="128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06" w:lineRule="exact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设备使用安全。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val="left" w:pos="802"/>
              </w:tabs>
              <w:bidi w:val="0"/>
              <w:spacing w:before="0" w:after="0" w:line="506" w:lineRule="exact"/>
              <w:ind w:left="0" w:right="0" w:firstLine="62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充电设备及变配电设计符合相关标准（包括 防雷、消防、配电、接地等）；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val="left" w:pos="816"/>
              </w:tabs>
              <w:bidi w:val="0"/>
              <w:spacing w:before="0" w:after="0" w:line="506" w:lineRule="exact"/>
              <w:ind w:left="0" w:right="0" w:firstLine="62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充电设施布置及高压供电设计有相关电气安全防护措施，符合国标及行业标准技术规范，确保人身操作安全；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val="left" w:pos="821"/>
              </w:tabs>
              <w:bidi w:val="0"/>
              <w:spacing w:before="0" w:after="0" w:line="506" w:lineRule="exact"/>
              <w:ind w:left="0" w:right="0" w:firstLine="62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充电设备及配电设备、供电线缆具有涉水、 雨漏、防火、防雷等安全设计合规；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val="left" w:pos="802"/>
              </w:tabs>
              <w:bidi w:val="0"/>
              <w:spacing w:before="0" w:after="0" w:line="506" w:lineRule="exact"/>
              <w:ind w:left="0" w:right="0" w:firstLine="62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充电设施具备基本防盗、防开门高压触碰、 防带电操作锁止或安全提示标识等措施；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val="left" w:pos="932"/>
              </w:tabs>
              <w:bidi w:val="0"/>
              <w:spacing w:before="0" w:after="0" w:line="506" w:lineRule="exact"/>
              <w:ind w:left="0" w:right="0" w:firstLine="6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电气设备竣工安全检查合格报告。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1461"/>
              </w:tabs>
              <w:bidi w:val="0"/>
              <w:spacing w:before="0" w:after="0" w:line="506" w:lineRule="exact"/>
              <w:ind w:left="0" w:right="0" w:firstLine="76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（二）充电安全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06" w:lineRule="exact"/>
              <w:ind w:left="0" w:right="0" w:firstLine="62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具有充电安全保护能力，包括：实时监测充电过程极值超限告警和自动切断保护功能；具有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BMS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失效异常状况判别，防过充保护控制功能；具有电池性能预警及系统联动保护功能等。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811"/>
              </w:tabs>
              <w:bidi w:val="0"/>
              <w:spacing w:before="0" w:after="0" w:line="509" w:lineRule="exact"/>
              <w:ind w:left="0" w:right="0" w:firstLine="62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充电运营商应具有充电监控管理平台，实时监测充电过程中的异常状态，极值告警及保护，充电安全保护功能符合相关技术要求；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826"/>
              </w:tabs>
              <w:bidi w:val="0"/>
              <w:spacing w:before="0" w:after="0" w:line="509" w:lineRule="exact"/>
              <w:ind w:left="0" w:right="0" w:firstLine="62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具有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BMS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失效异常状况判别，具有防过充保护数据监测和控制功能；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821"/>
              </w:tabs>
              <w:bidi w:val="0"/>
              <w:spacing w:before="0" w:after="0" w:line="514" w:lineRule="exact"/>
              <w:ind w:left="0" w:right="0" w:firstLine="62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具有防止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BMS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实效的冗余监测保护；充电设备能根据监测到的异常数据，发出报警信息；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918"/>
              </w:tabs>
              <w:bidi w:val="0"/>
              <w:spacing w:before="0" w:after="0" w:line="514" w:lineRule="exact"/>
              <w:ind w:left="0" w:right="0" w:firstLine="6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具有电池性能劣化预警及联动保护功能；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903"/>
              </w:tabs>
              <w:bidi w:val="0"/>
              <w:spacing w:before="0" w:after="0" w:line="514" w:lineRule="exact"/>
              <w:ind w:left="0" w:right="0" w:firstLine="6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充电安全的运行管理有效。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1461"/>
              </w:tabs>
              <w:bidi w:val="0"/>
              <w:spacing w:before="0" w:after="0" w:line="514" w:lineRule="exact"/>
              <w:ind w:left="0" w:right="0" w:firstLine="76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（三）信息安全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14" w:lineRule="exact"/>
              <w:ind w:left="0" w:right="0" w:firstLine="62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建立信息安全管理制度，运营平台应符合相关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  <w:bookmarkStart w:id="3" w:name="_GoBack"/>
      <w:bookmarkEnd w:id="3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10"/>
        <w:gridCol w:w="6490"/>
        <w:gridCol w:w="1277"/>
        <w:gridCol w:w="128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04" w:lineRule="exact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国家信息安全标准，充电设备安全防侵入防攻击防篡改措施具有实施方案和计划。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val="left" w:pos="811"/>
              </w:tabs>
              <w:bidi w:val="0"/>
              <w:spacing w:before="0" w:after="0" w:line="504" w:lineRule="exact"/>
              <w:ind w:left="0" w:right="0" w:firstLine="62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运营平台安全设计参照信息安全管理和技术 等级三级保护要求（《信息安全技术信息系统安全 等级保护基本要求》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GB/T 22239-2008）；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val="left" w:pos="830"/>
              </w:tabs>
              <w:bidi w:val="0"/>
              <w:spacing w:before="0" w:after="0" w:line="504" w:lineRule="exact"/>
              <w:ind w:left="0" w:right="0" w:firstLine="62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需有数据信息安全保障方案，确保平台数据 换、存储及运行操作过程中防止信息泄漏，以及数据备份及恢复；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val="left" w:pos="903"/>
              </w:tabs>
              <w:bidi w:val="0"/>
              <w:spacing w:before="0" w:after="0" w:line="504" w:lineRule="exact"/>
              <w:ind w:left="0" w:right="0" w:firstLine="6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平台网络安全具备防攻击相应能力；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val="left" w:pos="821"/>
              </w:tabs>
              <w:bidi w:val="0"/>
              <w:spacing w:before="0" w:after="0" w:line="504" w:lineRule="exact"/>
              <w:ind w:left="0" w:right="0" w:firstLine="6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支付系统具备相应支付安全方案及保护措施；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val="left" w:pos="821"/>
              </w:tabs>
              <w:bidi w:val="0"/>
              <w:spacing w:before="0" w:after="0" w:line="504" w:lineRule="exact"/>
              <w:ind w:left="0" w:right="0" w:firstLine="6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充电设备具备与平台配合的防攻击安全保护措施，如数据信道的业务功能防篡改认证、鉴权、及充电控制信息数据加密等安全保护措施；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val="left" w:pos="913"/>
              </w:tabs>
              <w:bidi w:val="0"/>
              <w:spacing w:before="0" w:after="0" w:line="504" w:lineRule="exact"/>
              <w:ind w:left="0" w:right="0" w:firstLine="6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车桩充电信息安全保障措施。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3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354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参考条件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（加分项）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充电站运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维管理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94" w:lineRule="exact"/>
              <w:ind w:left="0" w:right="0" w:firstLine="6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充电站建有完善的运营管理体系。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6"/>
              </w:numPr>
              <w:shd w:val="clear" w:color="auto" w:fill="auto"/>
              <w:tabs>
                <w:tab w:val="left" w:pos="889"/>
              </w:tabs>
              <w:bidi w:val="0"/>
              <w:spacing w:before="0" w:after="0" w:line="494" w:lineRule="exact"/>
              <w:ind w:left="0" w:right="0" w:firstLine="6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企业内部应建立完善的运营管理体系；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6"/>
              </w:numPr>
              <w:shd w:val="clear" w:color="auto" w:fill="auto"/>
              <w:tabs>
                <w:tab w:val="left" w:pos="908"/>
              </w:tabs>
              <w:bidi w:val="0"/>
              <w:spacing w:before="0" w:after="0" w:line="494" w:lineRule="exact"/>
              <w:ind w:left="0" w:right="0" w:firstLine="6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企业应取得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IS09001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质量管理体系认证；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6"/>
              </w:numPr>
              <w:shd w:val="clear" w:color="auto" w:fill="auto"/>
              <w:tabs>
                <w:tab w:val="left" w:pos="802"/>
              </w:tabs>
              <w:bidi w:val="0"/>
              <w:spacing w:before="0" w:after="0" w:line="494" w:lineRule="exact"/>
              <w:ind w:left="0" w:right="0" w:firstLine="6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企业通过相关环境管理体系及职业健康安全 管理体系认证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 xml:space="preserve">（IS014001； 0HSAS18001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等）。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40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分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1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90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设施完好 率/开通率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90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/利用率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val="left" w:pos="811"/>
              </w:tabs>
              <w:bidi w:val="0"/>
              <w:spacing w:before="0" w:after="0" w:line="514" w:lineRule="exact"/>
              <w:ind w:left="0" w:right="0" w:firstLine="6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充电设施完好率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100%；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故障实施可快速响应维修；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val="left" w:pos="908"/>
              </w:tabs>
              <w:bidi w:val="0"/>
              <w:spacing w:before="0" w:after="0" w:line="514" w:lineRule="exact"/>
              <w:ind w:left="0" w:right="0" w:firstLine="62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充电设施开通率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100%；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val="left" w:pos="903"/>
              </w:tabs>
              <w:bidi w:val="0"/>
              <w:spacing w:before="0" w:after="0" w:line="514" w:lineRule="exact"/>
              <w:ind w:left="0" w:right="0" w:firstLine="6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利用率高。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充电费用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1.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充电电费符合国家政策标准要求；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10"/>
        <w:gridCol w:w="6490"/>
        <w:gridCol w:w="1277"/>
        <w:gridCol w:w="128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8"/>
              </w:numPr>
              <w:shd w:val="clear" w:color="auto" w:fill="auto"/>
              <w:tabs>
                <w:tab w:val="left" w:pos="908"/>
              </w:tabs>
              <w:bidi w:val="0"/>
              <w:spacing w:before="0" w:after="180" w:line="240" w:lineRule="auto"/>
              <w:ind w:left="0" w:right="0" w:firstLine="62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服务费符合地方政策要求；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8"/>
              </w:numPr>
              <w:shd w:val="clear" w:color="auto" w:fill="auto"/>
              <w:tabs>
                <w:tab w:val="left" w:pos="903"/>
              </w:tabs>
              <w:bidi w:val="0"/>
              <w:spacing w:before="0" w:after="0" w:line="240" w:lineRule="auto"/>
              <w:ind w:left="0" w:right="0" w:firstLine="62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停车费优惠。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第三方认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val="left" w:pos="816"/>
              </w:tabs>
              <w:bidi w:val="0"/>
              <w:spacing w:before="0" w:after="0" w:line="518" w:lineRule="exact"/>
              <w:ind w:left="0" w:right="0" w:firstLine="62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充电设施整机产品通过第三方检测，并获得相关标识（检测、认证）评定；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val="left" w:pos="850"/>
              </w:tabs>
              <w:bidi w:val="0"/>
              <w:spacing w:before="0" w:after="0" w:line="514" w:lineRule="exact"/>
              <w:ind w:left="0" w:right="0" w:firstLine="62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电设施产品关键部件，如充电接口、机械开关设备、电缆、配电箱、电能表等应通过第三方检 测；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val="left" w:pos="811"/>
              </w:tabs>
              <w:bidi w:val="0"/>
              <w:spacing w:before="0" w:after="0" w:line="509" w:lineRule="exact"/>
              <w:ind w:left="0" w:right="0" w:firstLine="62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入网充电设备协议一致性及安全功能通过第三方检测。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专用充电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车位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具备专用充电车位，无燃油车占位。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专人值守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安排专人提供现场充电服务工作。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预约服务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23" w:lineRule="exact"/>
              <w:ind w:left="0" w:right="0" w:firstLine="62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通过运营商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APP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软件可进行充电预约，保障用户的充电体验。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引导标识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99" w:lineRule="exact"/>
              <w:ind w:left="0" w:right="0" w:firstLine="62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在充电站外、停车场内设置显著引导标识（或运营商导航软件提供详细地点描述）。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操作使用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说明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85" w:lineRule="exact"/>
              <w:ind w:left="0" w:right="0" w:firstLine="62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在设备显著位置张贴设备操作使用说明（或在充电卡、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APP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等提供操作使用说明）。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客服维修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响应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14" w:lineRule="exact"/>
              <w:ind w:left="0" w:right="0" w:firstLine="62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建立快速、便捷的客服维修响应机制，如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7X24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小时电话等，建立用户满意度评价体系。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配套设施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04" w:lineRule="exact"/>
              <w:ind w:left="0" w:right="0" w:firstLine="62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充电站周边配有厕所、购物、餐饮、休闲等配套设施，或向充电用户提供指引服务。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便捷支付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10"/>
              </w:numPr>
              <w:shd w:val="clear" w:color="auto" w:fill="auto"/>
              <w:tabs>
                <w:tab w:val="left" w:pos="826"/>
              </w:tabs>
              <w:bidi w:val="0"/>
              <w:spacing w:before="0" w:after="0" w:line="514" w:lineRule="exact"/>
              <w:ind w:left="0" w:right="0" w:firstLine="62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具备刷卡支付、账号密码支付、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APP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支付、微 信、支付宝等三方支付中一项或多项支付方式；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10"/>
              </w:numPr>
              <w:shd w:val="clear" w:color="auto" w:fill="auto"/>
              <w:tabs>
                <w:tab w:val="left" w:pos="922"/>
              </w:tabs>
              <w:bidi w:val="0"/>
              <w:spacing w:before="0" w:after="0" w:line="514" w:lineRule="exact"/>
              <w:ind w:left="0" w:right="0" w:firstLine="62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能够为充电用户及时提供账单查询等服务。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信息管理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平台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85" w:lineRule="exact"/>
              <w:ind w:left="0" w:right="0" w:firstLine="62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充电站接入国家、地方电动汽车充电信息服务管理平台。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10"/>
        <w:gridCol w:w="6490"/>
        <w:gridCol w:w="1277"/>
        <w:gridCol w:w="128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保险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14" w:lineRule="exact"/>
              <w:ind w:left="0" w:right="0" w:firstLine="64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L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充电设施产品已购买产品责任险；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14" w:lineRule="exact"/>
              <w:ind w:left="0" w:right="0" w:firstLine="64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2.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能够为充电用户提供相关的安全充电使用保险服务。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人员培训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06" w:lineRule="exact"/>
              <w:ind w:left="0" w:right="0" w:firstLine="64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管理人员和作业人员接受专业技能培训，并获得电动汽车充电设施安装建设与运维管理的资格证 书。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其他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94" w:lineRule="exact"/>
              <w:ind w:left="0" w:right="0" w:firstLine="64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符合相关政策和地方政府要求的其他未尽事宜。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</w:tbl>
    <w:p>
      <w:pPr>
        <w:widowControl w:val="0"/>
        <w:spacing w:after="6959" w:line="1" w:lineRule="exact"/>
      </w:pPr>
    </w:p>
    <w:p>
      <w:pPr>
        <w:widowControl w:val="0"/>
        <w:spacing w:line="1" w:lineRule="exact"/>
      </w:pPr>
    </w:p>
    <w:sectPr>
      <w:headerReference r:id="rId5" w:type="default"/>
      <w:footerReference r:id="rId6" w:type="default"/>
      <w:footnotePr>
        <w:numFmt w:val="decimal"/>
      </w:footnotePr>
      <w:type w:val="continuous"/>
      <w:pgSz w:w="11900" w:h="16840"/>
      <w:pgMar w:top="1441" w:right="881" w:bottom="1441" w:left="656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singleLevel"/>
    <w:tmpl w:val="9239341B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zh-TW" w:eastAsia="zh-TW" w:bidi="zh-TW"/>
      </w:rPr>
    </w:lvl>
  </w:abstractNum>
  <w:abstractNum w:abstractNumId="1">
    <w:nsid w:val="B5E306ED"/>
    <w:multiLevelType w:val="singleLevel"/>
    <w:tmpl w:val="B5E306ED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zh-TW" w:eastAsia="zh-TW" w:bidi="zh-TW"/>
      </w:rPr>
    </w:lvl>
  </w:abstractNum>
  <w:abstractNum w:abstractNumId="2">
    <w:nsid w:val="BF205925"/>
    <w:multiLevelType w:val="singleLevel"/>
    <w:tmpl w:val="BF205925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zh-TW" w:eastAsia="zh-TW" w:bidi="zh-TW"/>
      </w:rPr>
    </w:lvl>
  </w:abstractNum>
  <w:abstractNum w:abstractNumId="3">
    <w:nsid w:val="C8879AEF"/>
    <w:multiLevelType w:val="singleLevel"/>
    <w:tmpl w:val="C8879AEF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</w:abstractNum>
  <w:abstractNum w:abstractNumId="4">
    <w:nsid w:val="0248C179"/>
    <w:multiLevelType w:val="singleLevel"/>
    <w:tmpl w:val="0248C179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</w:abstractNum>
  <w:abstractNum w:abstractNumId="5">
    <w:nsid w:val="03D62ECE"/>
    <w:multiLevelType w:val="singleLevel"/>
    <w:tmpl w:val="03D62ECE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</w:abstractNum>
  <w:abstractNum w:abstractNumId="6">
    <w:nsid w:val="25B654F3"/>
    <w:multiLevelType w:val="singleLevel"/>
    <w:tmpl w:val="25B654F3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zh-TW" w:eastAsia="zh-TW" w:bidi="zh-TW"/>
      </w:rPr>
    </w:lvl>
  </w:abstractNum>
  <w:abstractNum w:abstractNumId="7">
    <w:nsid w:val="2A8F537B"/>
    <w:multiLevelType w:val="singleLevel"/>
    <w:tmpl w:val="2A8F537B"/>
    <w:lvl w:ilvl="0" w:tentative="0">
      <w:start w:val="2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zh-TW" w:eastAsia="zh-TW" w:bidi="zh-TW"/>
      </w:rPr>
    </w:lvl>
  </w:abstractNum>
  <w:abstractNum w:abstractNumId="8">
    <w:nsid w:val="5A241D34"/>
    <w:multiLevelType w:val="singleLevel"/>
    <w:tmpl w:val="5A241D34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</w:abstractNum>
  <w:abstractNum w:abstractNumId="9">
    <w:nsid w:val="72183CF9"/>
    <w:multiLevelType w:val="singleLevel"/>
    <w:tmpl w:val="72183CF9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0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3C2C15C1"/>
    <w:rsid w:val="497842F9"/>
    <w:rsid w:val="4F8B383F"/>
    <w:rsid w:val="515C029D"/>
    <w:rsid w:val="53711B89"/>
    <w:rsid w:val="621E7525"/>
    <w:rsid w:val="65A64814"/>
    <w:rsid w:val="7CEB45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Heading #1|1_"/>
    <w:basedOn w:val="5"/>
    <w:link w:val="7"/>
    <w:qFormat/>
    <w:uiPriority w:val="0"/>
    <w:rPr>
      <w:rFonts w:ascii="宋体" w:hAnsi="宋体" w:eastAsia="宋体" w:cs="宋体"/>
      <w:color w:val="E40014"/>
      <w:sz w:val="80"/>
      <w:szCs w:val="80"/>
      <w:u w:val="none"/>
      <w:shd w:val="clear" w:color="auto" w:fill="auto"/>
      <w:lang w:val="zh-TW" w:eastAsia="zh-TW" w:bidi="zh-TW"/>
    </w:rPr>
  </w:style>
  <w:style w:type="paragraph" w:customStyle="1" w:styleId="7">
    <w:name w:val="Heading #1|1"/>
    <w:basedOn w:val="1"/>
    <w:link w:val="6"/>
    <w:qFormat/>
    <w:uiPriority w:val="0"/>
    <w:pPr>
      <w:widowControl w:val="0"/>
      <w:shd w:val="clear" w:color="auto" w:fill="auto"/>
      <w:spacing w:before="2580" w:after="600"/>
      <w:outlineLvl w:val="0"/>
    </w:pPr>
    <w:rPr>
      <w:rFonts w:ascii="宋体" w:hAnsi="宋体" w:eastAsia="宋体" w:cs="宋体"/>
      <w:color w:val="E40014"/>
      <w:sz w:val="80"/>
      <w:szCs w:val="80"/>
      <w:u w:val="none"/>
      <w:shd w:val="clear" w:color="auto" w:fill="auto"/>
      <w:lang w:val="zh-TW" w:eastAsia="zh-TW" w:bidi="zh-TW"/>
    </w:rPr>
  </w:style>
  <w:style w:type="character" w:customStyle="1" w:styleId="8">
    <w:name w:val="Body text|2_"/>
    <w:basedOn w:val="5"/>
    <w:link w:val="9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9">
    <w:name w:val="Body text|2"/>
    <w:basedOn w:val="1"/>
    <w:link w:val="8"/>
    <w:qFormat/>
    <w:uiPriority w:val="0"/>
    <w:pPr>
      <w:widowControl w:val="0"/>
      <w:shd w:val="clear" w:color="auto" w:fill="auto"/>
      <w:spacing w:after="720"/>
      <w:ind w:firstLine="360"/>
      <w:jc w:val="center"/>
    </w:pPr>
    <w:rPr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10">
    <w:name w:val="Heading #2|1_"/>
    <w:basedOn w:val="5"/>
    <w:link w:val="11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1">
    <w:name w:val="Heading #2|1"/>
    <w:basedOn w:val="1"/>
    <w:link w:val="10"/>
    <w:qFormat/>
    <w:uiPriority w:val="0"/>
    <w:pPr>
      <w:widowControl w:val="0"/>
      <w:shd w:val="clear" w:color="auto" w:fill="auto"/>
      <w:spacing w:after="460" w:line="480" w:lineRule="exact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12">
    <w:name w:val="Body text|1_"/>
    <w:basedOn w:val="5"/>
    <w:link w:val="13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3">
    <w:name w:val="Body text|1"/>
    <w:basedOn w:val="1"/>
    <w:link w:val="12"/>
    <w:qFormat/>
    <w:uiPriority w:val="0"/>
    <w:pPr>
      <w:widowControl w:val="0"/>
      <w:shd w:val="clear" w:color="auto" w:fill="auto"/>
      <w:spacing w:line="35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4">
    <w:name w:val="Table caption|1_"/>
    <w:basedOn w:val="5"/>
    <w:link w:val="15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5">
    <w:name w:val="Table caption|1"/>
    <w:basedOn w:val="1"/>
    <w:link w:val="14"/>
    <w:qFormat/>
    <w:uiPriority w:val="0"/>
    <w:pPr>
      <w:widowControl w:val="0"/>
      <w:shd w:val="clear" w:color="auto" w:fill="auto"/>
      <w:spacing w:line="295" w:lineRule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6">
    <w:name w:val="Other|1_"/>
    <w:basedOn w:val="5"/>
    <w:link w:val="17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7">
    <w:name w:val="Other|1"/>
    <w:basedOn w:val="1"/>
    <w:link w:val="16"/>
    <w:qFormat/>
    <w:uiPriority w:val="0"/>
    <w:pPr>
      <w:widowControl w:val="0"/>
      <w:shd w:val="clear" w:color="auto" w:fill="auto"/>
      <w:spacing w:line="35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8">
    <w:name w:val="Header or footer|2_"/>
    <w:basedOn w:val="5"/>
    <w:link w:val="19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9">
    <w:name w:val="Header or footer|2"/>
    <w:basedOn w:val="1"/>
    <w:link w:val="18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20">
    <w:name w:val="Heading #3|1_"/>
    <w:basedOn w:val="5"/>
    <w:link w:val="21"/>
    <w:qFormat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21">
    <w:name w:val="Heading #3|1"/>
    <w:basedOn w:val="1"/>
    <w:link w:val="20"/>
    <w:qFormat/>
    <w:uiPriority w:val="0"/>
    <w:pPr>
      <w:widowControl w:val="0"/>
      <w:shd w:val="clear" w:color="auto" w:fill="auto"/>
      <w:spacing w:after="520" w:line="442" w:lineRule="exact"/>
      <w:jc w:val="center"/>
      <w:outlineLvl w:val="2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22">
    <w:name w:val="Body text|3_"/>
    <w:basedOn w:val="5"/>
    <w:link w:val="23"/>
    <w:qFormat/>
    <w:uiPriority w:val="0"/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23">
    <w:name w:val="Body text|3"/>
    <w:basedOn w:val="1"/>
    <w:link w:val="22"/>
    <w:qFormat/>
    <w:uiPriority w:val="0"/>
    <w:pPr>
      <w:widowControl w:val="0"/>
      <w:shd w:val="clear" w:color="auto" w:fill="auto"/>
      <w:spacing w:line="240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24">
    <w:name w:val="Header or footer|1_"/>
    <w:basedOn w:val="5"/>
    <w:link w:val="25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5">
    <w:name w:val="Header or footer|1"/>
    <w:basedOn w:val="1"/>
    <w:link w:val="24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26">
    <w:name w:val="Body text|4_"/>
    <w:basedOn w:val="5"/>
    <w:link w:val="27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27">
    <w:name w:val="Body text|4"/>
    <w:basedOn w:val="1"/>
    <w:link w:val="26"/>
    <w:qFormat/>
    <w:uiPriority w:val="0"/>
    <w:pPr>
      <w:widowControl w:val="0"/>
      <w:shd w:val="clear" w:color="auto" w:fill="auto"/>
      <w:spacing w:after="820"/>
      <w:ind w:left="222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1060</TotalTime>
  <ScaleCrop>false</ScaleCrop>
  <LinksUpToDate>false</LinksUpToDate>
  <Application>WPS Office_11.1.0.9999_F1E327BC-269C-435d-A152-05C5408002CA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2020-09-03T08:33:00Z</dcterms:created>
  <dc:creator>Lenovo</dc:creator>
  <cp:lastModifiedBy>WPS_1591150055</cp:lastModifiedBy>
  <cp:lastPrinted>2020-10-21T01:25:21Z</cp:lastPrinted>
  <dcterms:modified xsi:type="dcterms:W3CDTF">2020-10-22T02:16:36Z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