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海南省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电动汽车示范充电站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评选活动方案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为贯彻落实海南省委、省政府加快全省新能源汽车推广应用和充电基础设施建设的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要求，进一步推动全省充电基础设施健康有序发展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鼓励电动汽车基础设施运营企业提升服务质量水平，规范运营管理，保障充电安全和信息安全，给电动汽车充电用户提供良好的充电服务体验，发挥优质充电站的典型示范作用。协会拟定于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2020年10月至12月份期间，组织开展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2020年电动汽车示范充电站评选活动，活动方案如下：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以习近平新时代中国特色社会主义思想为指导，全面贯彻落实习近平总书记“4.13”重要讲话精神和中央12号文件要求，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</w:rPr>
        <w:t>以创建国家生态文明试验区为根本目的，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结合我省电动汽车推广应用实际，将充电基础设施建设作为新型城市基础设施放在更加重要的位置，加强和规范新能源汽车充电基础设施建设运营管理，进一步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推动全省充电基础设施健康有序发展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本次示范充电站评选活动，以全行业充电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企业自愿申报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，坚持公平、公正、公开的原则，通过评选活动，选出管理好、服务好，确实能发挥典型示范作用的场站。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（三）活动目的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省范围内筛选出一批具有示范引领作用、对外具有宣传推广效果的示范充电站。通过示范引领，总结可复制、可推广的经验和做法，提升充电基础设施运营企业的服务质量水平，为广大电动汽车充电用户提供更优质的充电服务体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带动全省充电基础设施的建设、运营和管理迈上一个新的台阶。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（一）充电站有良好的站容站貌，整体布置协调，设备完好率在80%及以上。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（二）评选的充电站已接入海南省充电基础设施信息管理平台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充电站对外开放，可对各种社会车辆提供充电服务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站内规模应具有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台及以上充电桩（其中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台及以上为直流充电桩）和配套设施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（四）充电设施及其设计、建设、使用符合国家和行业标准和管理要求，且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充电设施具有充电安全保护能力，在安全性和技术要求等方面不低于国家或行业标准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充电站的消防、监控及安全管理符合国家相关法律法规要求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，充电站设置应急组织，建立突发时间应急预案。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（六）管理规范，各种规章制度和资料完善齐全，维修及时，无僵尸桩。服务到位，价格合理，信誉良好。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充电站的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标准规范、</w:t>
      </w:r>
      <w:r>
        <w:rPr>
          <w:rFonts w:hint="eastAsia" w:ascii="仿宋_GB2312" w:hAnsi="仿宋_GB2312" w:eastAsia="仿宋_GB2312" w:cs="仿宋_GB2312"/>
          <w:sz w:val="32"/>
          <w:szCs w:val="32"/>
        </w:rPr>
        <w:t>站容站貌、安防措施、运行维护、计量计费、现场服务和智能应用等。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（一）标准规范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充电站的设施设备建设、运营服务等符合国家现行法律法规和标准的规定与要求，并且是符合《高温沿海地区充电设施特殊要求标准》（T/CEC 213-2019）技术标准要求以及《海南省电动汽车充电设施建设技术标准》（HN DBJ 46-041-2019）的相关规定要求。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站容站貌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okmark28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、作业场所整体应整洁、干净、卫生、无明显污垢。站内物品摆放陈列有序，环境整洁、卫生、整体布置协调，设置垃圾箱。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bookmark29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、充电设备、消防器材等基础设施齐备完好。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bookmark30"/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、保持站点日常照明和应急照明设施完好，工作区域不应存放易燃易爆物品、污染和腐蚀介质。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31"/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充电站设置进出口标识、安全警示标识、设备标识、服务项目牌价格牌、监督投诉电话号码牌等，并定期检查。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32"/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、不影响正常运营的情况下，因地制宜开展绿化。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5" w:name="bookmark33"/>
      <w:bookmarkEnd w:id="5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安防措施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34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、安全管理组织机构健全，各项责任落实到人，管理人员和作业人员应接受安全生产教育和岗位技能培训。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35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、安全运行制度完善，定期开展充电站的巡检、维护与检修，开展安全预防活动，并有相应记录。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36"/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、安全警示标识规范，公示牌明示运营机构名称、运营时间、服务范围、服务项目、收费标准和计算方式、服务 热线、站点地图指示、求援电话、监督举报电话以及当前站内充电设备可供使用情况等。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bookmark37"/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、消防设施和监控器材完好，定期维护保养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全体人员掌握消防知识，熟知消防器材的位置、性能和使用。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38"/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、设置应急组织管理体系，建立火灾、车辆故障、电池破损燃烧爆炸、从电系统故障、人员触电、设备故障、停电和断网等突发事件应急预案。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1" w:name="bookmark39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bookmarkEnd w:id="11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）运行维护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、建立完善的运行维护管理体系，流程清晰、分工明确、责任到人；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、运维人员经专业培训，熟练掌握充电设施运维检修技能，熟悉充电设施大面积故障或客户服务应急处置流程；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、充电站对运行过程进行记录，包括设备维护、值班日志、巡视检修等台账进行清晰、准确、无遗漏记录。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、运营管理系统实现电动汽车充电的数据釆集、数据存储、统计分析、运行决策、营业服务以及调度管理的系统。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2" w:name="bookmark45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bookmarkEnd w:id="12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）现场服务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1、示范站应实现标准化、规范化服务，并提供更加丰富和人性化的现场服务。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bookmark46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、现场工作人员应掌握相应的业务知识和服务技能，并能熟练运用。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bookmark47"/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充电站周边配有厕所、购物、餐饮、休闲等配套设施,或向充电用户提供指引服务。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48"/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、设置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小时服务热线并保持接线畅通，服务热线为顾客提供充电服务预约、充电业务咨询、投诉、其它增值服务等。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6" w:name="bookmark49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bookmarkEnd w:id="16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）智能应用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示范站运用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智能化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技术，在站内部署视频监控、车牌识别、环境监测等终端并集中接入信息系统，实现车位预约等智能化运行、监测和管控功能。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各有关企业自愿申报，并按要求填写申报材料。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申报方式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各有关单位自愿申报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，申报企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日17:00前将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全部申报材料按指定格式压缩后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海南省电动汽车与充电设施协会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邮箱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HNEVCFA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  <w:t xml:space="preserve">@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163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/>
        </w:rPr>
        <w:t>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）评选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bookmark5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、资料初审。专项工作组负责对提交的申请材料进行形式初审（包括材料的齐全性、规范性、有效性等）。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bookmark52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、现场检查。专项工作组组织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现场检查小组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并评分（内容详见附件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53"/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、大众投票。评选活动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开展大众投票，邀请参评单位及社会公众进行投票（上传照片及相关介绍，进行编号），确保评选活动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“公</w:t>
      </w:r>
      <w:r>
        <w:rPr>
          <w:rFonts w:hint="eastAsia" w:ascii="仿宋_GB2312" w:hAnsi="仿宋_GB2312" w:eastAsia="仿宋_GB2312" w:cs="仿宋_GB2312"/>
          <w:sz w:val="32"/>
          <w:szCs w:val="32"/>
        </w:rPr>
        <w:t>平、公正、公开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现场检查分占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%,公众投票分占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，按得分高低排序，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推荐得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最较高的前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5名（暂定），为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电动汽车示范充电站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）评选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评选结果在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网站、媒体公示五个工作日，公示期结束，将对参评获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示范站单位及站点进行公告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组织举办授牌仪式，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电动汽车示范充电站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荣誉称号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牌匾，发给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五、进度安排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416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10月13日-10月19日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活动方案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网上征求意见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10月26日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评选活动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通知发布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10月26日-11月23日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电动汽车示范站申报时间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11月24日-12月10日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资料初审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12月11日-12月25日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12月25日-12月31日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大众投票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1月4日-1月8日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评选公示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0" w:name="_GoBack"/>
      <w:bookmarkEnd w:id="2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（一）海南省充电基础设施建设运营企业均可申报，每家充电基础设施企业最多可申报3个充电站。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（二）本次评选不收取任何评审费用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电动汽车示范充电站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”称号的充电站，应不断提高管理水平，保持良好的服务状态，一年后将对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电动汽车示范充电站进行抽查，如有关指标未达标，则将摘除示范站牌匾并进行通报。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海南省电动汽车与充电设施协会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12F89"/>
    <w:rsid w:val="04F678B9"/>
    <w:rsid w:val="0794765C"/>
    <w:rsid w:val="07C35FFA"/>
    <w:rsid w:val="09F532D1"/>
    <w:rsid w:val="0A0D1BFF"/>
    <w:rsid w:val="0A763D00"/>
    <w:rsid w:val="0AAA4A01"/>
    <w:rsid w:val="0AF464BE"/>
    <w:rsid w:val="0B392B73"/>
    <w:rsid w:val="0CAC54F7"/>
    <w:rsid w:val="0D707CBC"/>
    <w:rsid w:val="0F243486"/>
    <w:rsid w:val="0FD25353"/>
    <w:rsid w:val="10842729"/>
    <w:rsid w:val="11274005"/>
    <w:rsid w:val="11FC5A0E"/>
    <w:rsid w:val="14AD3CB6"/>
    <w:rsid w:val="1631495A"/>
    <w:rsid w:val="168166A6"/>
    <w:rsid w:val="1A79743B"/>
    <w:rsid w:val="1AAB4659"/>
    <w:rsid w:val="1B1155F7"/>
    <w:rsid w:val="1BF20201"/>
    <w:rsid w:val="20646E6C"/>
    <w:rsid w:val="211244AF"/>
    <w:rsid w:val="2281290D"/>
    <w:rsid w:val="284108B2"/>
    <w:rsid w:val="284E2ED6"/>
    <w:rsid w:val="29DF1DA6"/>
    <w:rsid w:val="2AAF5B34"/>
    <w:rsid w:val="2C6127DF"/>
    <w:rsid w:val="2CFB2E8F"/>
    <w:rsid w:val="2E0A49DB"/>
    <w:rsid w:val="32CF0D43"/>
    <w:rsid w:val="32D71EEC"/>
    <w:rsid w:val="346174A7"/>
    <w:rsid w:val="34D43933"/>
    <w:rsid w:val="36BA0688"/>
    <w:rsid w:val="3A3D7693"/>
    <w:rsid w:val="3BAE3F0A"/>
    <w:rsid w:val="3C5B39F8"/>
    <w:rsid w:val="3C9B3621"/>
    <w:rsid w:val="3CD45E6C"/>
    <w:rsid w:val="3DD332D4"/>
    <w:rsid w:val="43994C58"/>
    <w:rsid w:val="45074E28"/>
    <w:rsid w:val="46CE382B"/>
    <w:rsid w:val="4700607B"/>
    <w:rsid w:val="49696D04"/>
    <w:rsid w:val="49D53F89"/>
    <w:rsid w:val="4EBB5330"/>
    <w:rsid w:val="4FBC1F43"/>
    <w:rsid w:val="50A643D0"/>
    <w:rsid w:val="53574CDB"/>
    <w:rsid w:val="585B1B48"/>
    <w:rsid w:val="586F41C2"/>
    <w:rsid w:val="5B226E1A"/>
    <w:rsid w:val="5B324B19"/>
    <w:rsid w:val="5D127104"/>
    <w:rsid w:val="5D470D43"/>
    <w:rsid w:val="5D541E91"/>
    <w:rsid w:val="5DC9612C"/>
    <w:rsid w:val="5FD94CF3"/>
    <w:rsid w:val="60A54784"/>
    <w:rsid w:val="62215F43"/>
    <w:rsid w:val="6324656C"/>
    <w:rsid w:val="64614368"/>
    <w:rsid w:val="64912F89"/>
    <w:rsid w:val="65090E54"/>
    <w:rsid w:val="66DE6CE8"/>
    <w:rsid w:val="68A12E10"/>
    <w:rsid w:val="68B14C74"/>
    <w:rsid w:val="690416E4"/>
    <w:rsid w:val="6A182C85"/>
    <w:rsid w:val="6AC60361"/>
    <w:rsid w:val="6C1A78CC"/>
    <w:rsid w:val="6D260894"/>
    <w:rsid w:val="6D9F5556"/>
    <w:rsid w:val="6DE37222"/>
    <w:rsid w:val="6DF92FEF"/>
    <w:rsid w:val="6E3826CC"/>
    <w:rsid w:val="6F8D1654"/>
    <w:rsid w:val="71507914"/>
    <w:rsid w:val="71911E36"/>
    <w:rsid w:val="71933610"/>
    <w:rsid w:val="71DF72B0"/>
    <w:rsid w:val="73D05C41"/>
    <w:rsid w:val="74E5669C"/>
    <w:rsid w:val="74F65714"/>
    <w:rsid w:val="757D14DD"/>
    <w:rsid w:val="75807E59"/>
    <w:rsid w:val="75B30DBE"/>
    <w:rsid w:val="77392B74"/>
    <w:rsid w:val="794018E5"/>
    <w:rsid w:val="7A487C21"/>
    <w:rsid w:val="7AED7255"/>
    <w:rsid w:val="7AED749F"/>
    <w:rsid w:val="7B497409"/>
    <w:rsid w:val="7E2B6EF6"/>
    <w:rsid w:val="7E3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 w:eastAsia="宋体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line="240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2020-06-29T02:40:00Z</dcterms:created>
  <dc:creator>WPS_1591150055</dc:creator>
  <cp:lastModifiedBy>WPS_1591150055</cp:lastModifiedBy>
  <cp:lastPrinted>2020-10-26T02:36:00Z</cp:lastPrinted>
  <dcterms:modified xsi:type="dcterms:W3CDTF">2020-10-26T03:27:27Z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